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B632" w14:textId="772BA8E5" w:rsidR="00C928B5" w:rsidRDefault="00C928B5" w:rsidP="00F853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B5246" wp14:editId="522881AD">
                <wp:simplePos x="0" y="0"/>
                <wp:positionH relativeFrom="column">
                  <wp:posOffset>2114550</wp:posOffset>
                </wp:positionH>
                <wp:positionV relativeFrom="paragraph">
                  <wp:posOffset>-666750</wp:posOffset>
                </wp:positionV>
                <wp:extent cx="1676400" cy="1390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0011A" w14:textId="71A06115" w:rsidR="00C928B5" w:rsidRDefault="00C928B5" w:rsidP="00C928B5">
                            <w:pPr>
                              <w:jc w:val="center"/>
                            </w:pPr>
                            <w:r w:rsidRPr="00C928B5">
                              <w:rPr>
                                <w:noProof/>
                              </w:rPr>
                              <w:drawing>
                                <wp:inline distT="0" distB="0" distL="0" distR="0" wp14:anchorId="4417D7B2" wp14:editId="3FB545D1">
                                  <wp:extent cx="1171575" cy="11715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FB52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6.5pt;margin-top:-52.5pt;width:132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" fillcolor="white [3201]" stroked="f" strokeweight=".5pt">
                <v:textbox>
                  <w:txbxContent>
                    <w:p w14:paraId="4FF0011A" w14:textId="71A06115" w:rsidR="00C928B5" w:rsidRDefault="00C928B5" w:rsidP="00C928B5">
                      <w:pPr>
                        <w:jc w:val="center"/>
                      </w:pPr>
                      <w:r w:rsidRPr="00C928B5">
                        <w:rPr>
                          <w:noProof/>
                        </w:rPr>
                        <w:drawing>
                          <wp:inline distT="0" distB="0" distL="0" distR="0" wp14:anchorId="4417D7B2" wp14:editId="3FB545D1">
                            <wp:extent cx="1171575" cy="11715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F0FE62" w14:textId="77777777" w:rsidR="00C928B5" w:rsidRDefault="00C928B5" w:rsidP="00F8533C"/>
    <w:p w14:paraId="1617926F" w14:textId="77777777" w:rsidR="00C928B5" w:rsidRDefault="00C928B5" w:rsidP="00F8533C"/>
    <w:p w14:paraId="7F5ACF02" w14:textId="77777777" w:rsidR="00C928B5" w:rsidRDefault="00C928B5" w:rsidP="00F8533C"/>
    <w:p w14:paraId="2FE61E95" w14:textId="461C324C" w:rsidR="00844EB6" w:rsidRPr="00844EB6" w:rsidRDefault="00844EB6" w:rsidP="00BE3614">
      <w:pPr>
        <w:rPr>
          <w:lang w:val="es-ES"/>
        </w:rPr>
      </w:pPr>
      <w:r>
        <w:rPr>
          <w:lang w:val="es"/>
        </w:rPr>
        <w:t xml:space="preserve">Gracias por completar el seminario web </w:t>
      </w:r>
      <w:r w:rsidRPr="0007473F">
        <w:rPr>
          <w:b/>
          <w:bCs/>
          <w:i/>
          <w:iCs/>
          <w:lang w:val="es"/>
        </w:rPr>
        <w:t xml:space="preserve">Orientación de licencias para </w:t>
      </w:r>
      <w:r w:rsidR="00D60C47">
        <w:rPr>
          <w:b/>
          <w:bCs/>
          <w:i/>
          <w:iCs/>
          <w:lang w:val="es"/>
        </w:rPr>
        <w:t>P</w:t>
      </w:r>
      <w:r w:rsidRPr="0007473F">
        <w:rPr>
          <w:b/>
          <w:bCs/>
          <w:i/>
          <w:iCs/>
          <w:lang w:val="es"/>
        </w:rPr>
        <w:t>roveedores de</w:t>
      </w:r>
      <w:r w:rsidR="00D60C47">
        <w:rPr>
          <w:b/>
          <w:bCs/>
          <w:i/>
          <w:iCs/>
          <w:lang w:val="es"/>
        </w:rPr>
        <w:t xml:space="preserve"> C</w:t>
      </w:r>
      <w:r w:rsidRPr="0007473F">
        <w:rPr>
          <w:b/>
          <w:bCs/>
          <w:i/>
          <w:iCs/>
          <w:lang w:val="es"/>
        </w:rPr>
        <w:t>uidado</w:t>
      </w:r>
      <w:r w:rsidR="00D60C47">
        <w:rPr>
          <w:b/>
          <w:bCs/>
          <w:i/>
          <w:iCs/>
          <w:lang w:val="es"/>
        </w:rPr>
        <w:t xml:space="preserve"> I</w:t>
      </w:r>
      <w:r w:rsidR="00D60C47" w:rsidRPr="0007473F">
        <w:rPr>
          <w:b/>
          <w:bCs/>
          <w:i/>
          <w:iCs/>
          <w:lang w:val="es"/>
        </w:rPr>
        <w:t>nfantil</w:t>
      </w:r>
      <w:r w:rsidRPr="0007473F">
        <w:rPr>
          <w:b/>
          <w:bCs/>
          <w:i/>
          <w:iCs/>
          <w:lang w:val="es"/>
        </w:rPr>
        <w:t xml:space="preserve"> </w:t>
      </w:r>
      <w:r w:rsidR="00D60C47">
        <w:rPr>
          <w:b/>
          <w:bCs/>
          <w:i/>
          <w:iCs/>
          <w:lang w:val="es"/>
        </w:rPr>
        <w:t>F</w:t>
      </w:r>
      <w:r w:rsidRPr="0007473F">
        <w:rPr>
          <w:b/>
          <w:bCs/>
          <w:i/>
          <w:iCs/>
          <w:lang w:val="es"/>
        </w:rPr>
        <w:t>amiliar</w:t>
      </w:r>
      <w:r>
        <w:rPr>
          <w:lang w:val="es"/>
        </w:rPr>
        <w:t xml:space="preserve"> en el </w:t>
      </w:r>
      <w:r w:rsidRPr="003C78D8">
        <w:rPr>
          <w:lang w:val="es"/>
        </w:rPr>
        <w:t>sitio web</w:t>
      </w:r>
      <w:r>
        <w:rPr>
          <w:lang w:val="es"/>
        </w:rPr>
        <w:t xml:space="preserve"> del </w:t>
      </w:r>
      <w:r w:rsidRPr="0007473F">
        <w:rPr>
          <w:b/>
          <w:bCs/>
          <w:i/>
          <w:iCs/>
          <w:lang w:val="es"/>
        </w:rPr>
        <w:t>Centro para Profesionales de Aprendizaje Temprano</w:t>
      </w:r>
      <w:r>
        <w:rPr>
          <w:b/>
          <w:bCs/>
          <w:lang w:val="es"/>
        </w:rPr>
        <w:t xml:space="preserve"> (</w:t>
      </w:r>
      <w:r w:rsidRPr="00825B08">
        <w:rPr>
          <w:b/>
          <w:bCs/>
          <w:i/>
          <w:iCs/>
          <w:lang w:val="es"/>
        </w:rPr>
        <w:t>CELP)</w:t>
      </w:r>
      <w:r w:rsidR="00F8533C" w:rsidRPr="00844EB6">
        <w:rPr>
          <w:lang w:val="es-ES"/>
        </w:rPr>
        <w:t xml:space="preserve">.  </w:t>
      </w:r>
      <w:r>
        <w:rPr>
          <w:lang w:val="es"/>
        </w:rPr>
        <w:t>Como recordará del seminario web, este es un requisito inicial para operar un cuidado infantil en su hogar.</w:t>
      </w:r>
      <w:r w:rsidR="00F8533C" w:rsidRPr="00844EB6">
        <w:rPr>
          <w:lang w:val="es-ES"/>
        </w:rPr>
        <w:t xml:space="preserve"> </w:t>
      </w:r>
      <w:r>
        <w:rPr>
          <w:lang w:val="es"/>
        </w:rPr>
        <w:t>El siguiente paso para obtener la licencia es presentar la</w:t>
      </w:r>
      <w:r w:rsidR="00D60C47">
        <w:rPr>
          <w:lang w:val="es"/>
        </w:rPr>
        <w:t>s</w:t>
      </w:r>
      <w:r>
        <w:rPr>
          <w:lang w:val="es"/>
        </w:rPr>
        <w:t xml:space="preserve"> </w:t>
      </w:r>
      <w:r w:rsidR="00D60C47">
        <w:rPr>
          <w:lang w:val="es"/>
        </w:rPr>
        <w:t>documentaciones</w:t>
      </w:r>
      <w:r>
        <w:rPr>
          <w:lang w:val="es"/>
        </w:rPr>
        <w:t xml:space="preserve"> al DHS</w:t>
      </w:r>
      <w:r w:rsidR="00F8533C" w:rsidRPr="00844EB6">
        <w:rPr>
          <w:lang w:val="es-ES"/>
        </w:rPr>
        <w:t xml:space="preserve">.  </w:t>
      </w:r>
      <w:r>
        <w:rPr>
          <w:lang w:val="es"/>
        </w:rPr>
        <w:t xml:space="preserve">Los documentos enumerados a continuación </w:t>
      </w:r>
      <w:r w:rsidRPr="003618BA">
        <w:rPr>
          <w:b/>
          <w:bCs/>
          <w:lang w:val="es"/>
        </w:rPr>
        <w:t>son necesarios</w:t>
      </w:r>
      <w:r>
        <w:rPr>
          <w:lang w:val="es"/>
        </w:rPr>
        <w:t xml:space="preserve"> para obtener la licencia. Al recibir su paquete completo, se lo agregará a la próxima capacitación </w:t>
      </w:r>
      <w:r w:rsidRPr="00D60C47">
        <w:rPr>
          <w:i/>
          <w:iCs/>
          <w:lang w:val="es"/>
        </w:rPr>
        <w:t xml:space="preserve">de </w:t>
      </w:r>
      <w:r w:rsidR="00D60C47" w:rsidRPr="00D60C47">
        <w:rPr>
          <w:i/>
          <w:iCs/>
          <w:lang w:val="es"/>
        </w:rPr>
        <w:t>los</w:t>
      </w:r>
      <w:r w:rsidR="00D60C47">
        <w:rPr>
          <w:b/>
          <w:bCs/>
          <w:i/>
          <w:iCs/>
          <w:lang w:val="es"/>
        </w:rPr>
        <w:t xml:space="preserve"> Primeros Pasos</w:t>
      </w:r>
      <w:r>
        <w:rPr>
          <w:b/>
          <w:bCs/>
          <w:i/>
          <w:iCs/>
          <w:lang w:val="es"/>
        </w:rPr>
        <w:t xml:space="preserve">, </w:t>
      </w:r>
      <w:r>
        <w:rPr>
          <w:lang w:val="es"/>
        </w:rPr>
        <w:t xml:space="preserve">que también ofrece el </w:t>
      </w:r>
      <w:r w:rsidRPr="007832EB">
        <w:rPr>
          <w:b/>
          <w:bCs/>
          <w:i/>
          <w:iCs/>
          <w:lang w:val="es"/>
        </w:rPr>
        <w:t>Centro para Profesionales de Aprendizaje Temprano</w:t>
      </w:r>
      <w:r>
        <w:rPr>
          <w:b/>
          <w:bCs/>
          <w:i/>
          <w:iCs/>
          <w:lang w:val="es"/>
        </w:rPr>
        <w:t xml:space="preserve"> (CELP</w:t>
      </w:r>
      <w:r w:rsidRPr="00D60C47">
        <w:rPr>
          <w:i/>
          <w:iCs/>
          <w:lang w:val="es"/>
        </w:rPr>
        <w:t>).</w:t>
      </w:r>
      <w:r w:rsidRPr="00D60C47">
        <w:rPr>
          <w:lang w:val="es"/>
        </w:rPr>
        <w:t xml:space="preserve"> </w:t>
      </w:r>
      <w:r w:rsidRPr="00D60C47">
        <w:rPr>
          <w:i/>
          <w:iCs/>
          <w:lang w:val="es"/>
        </w:rPr>
        <w:t xml:space="preserve"> </w:t>
      </w:r>
      <w:r w:rsidR="00D60C47" w:rsidRPr="00D60C47">
        <w:rPr>
          <w:i/>
          <w:iCs/>
          <w:lang w:val="es"/>
        </w:rPr>
        <w:t>Los</w:t>
      </w:r>
      <w:r w:rsidR="00D60C47">
        <w:rPr>
          <w:b/>
          <w:bCs/>
          <w:i/>
          <w:iCs/>
          <w:lang w:val="es"/>
        </w:rPr>
        <w:t xml:space="preserve"> Primeros Pasos</w:t>
      </w:r>
      <w:r>
        <w:rPr>
          <w:lang w:val="es"/>
        </w:rPr>
        <w:t xml:space="preserve"> es un curso virtual que se ofrece a un grupo de proveedores potenciales en el que </w:t>
      </w:r>
      <w:r w:rsidRPr="00C806BA">
        <w:rPr>
          <w:b/>
          <w:bCs/>
          <w:i/>
          <w:iCs/>
          <w:lang w:val="es"/>
        </w:rPr>
        <w:t xml:space="preserve">CELP </w:t>
      </w:r>
      <w:r>
        <w:rPr>
          <w:lang w:val="es"/>
        </w:rPr>
        <w:t xml:space="preserve">lo ayuda a completar su solicitud y proporciona las capacitaciones requeridas.  Sin embargo, no puede unirse </w:t>
      </w:r>
      <w:r w:rsidR="00D60C47">
        <w:rPr>
          <w:lang w:val="es"/>
        </w:rPr>
        <w:t xml:space="preserve">a los </w:t>
      </w:r>
      <w:r w:rsidR="00D60C47">
        <w:rPr>
          <w:b/>
          <w:bCs/>
          <w:i/>
          <w:iCs/>
          <w:lang w:val="es"/>
        </w:rPr>
        <w:t>Primeros Pasos</w:t>
      </w:r>
      <w:r>
        <w:rPr>
          <w:lang w:val="es"/>
        </w:rPr>
        <w:t xml:space="preserve"> sin enviar primero los documentos requeridos que se enumeran a continuación.  Comuníquese</w:t>
      </w:r>
      <w:r w:rsidR="00D60C47">
        <w:rPr>
          <w:lang w:val="es"/>
        </w:rPr>
        <w:t xml:space="preserve"> con </w:t>
      </w:r>
      <w:r w:rsidR="00FE48DD">
        <w:rPr>
          <w:lang w:val="es"/>
        </w:rPr>
        <w:t>la Oficina</w:t>
      </w:r>
      <w:r>
        <w:rPr>
          <w:lang w:val="es"/>
        </w:rPr>
        <w:t xml:space="preserve"> de Licencias de Cuidado Infantil </w:t>
      </w:r>
      <w:r w:rsidR="00D60C47">
        <w:rPr>
          <w:lang w:val="es"/>
        </w:rPr>
        <w:t>al</w:t>
      </w:r>
      <w:r w:rsidR="009E1426">
        <w:rPr>
          <w:lang w:val="es"/>
        </w:rPr>
        <w:t xml:space="preserve"> correo electrónico</w:t>
      </w:r>
      <w:r w:rsidR="00D60C47">
        <w:rPr>
          <w:lang w:val="es"/>
        </w:rPr>
        <w:t xml:space="preserve"> </w:t>
      </w:r>
      <w:r>
        <w:rPr>
          <w:lang w:val="es"/>
        </w:rPr>
        <w:t>(</w:t>
      </w:r>
      <w:hyperlink r:id="rId7" w:history="1">
        <w:r w:rsidRPr="00D96F19">
          <w:rPr>
            <w:rStyle w:val="Hyperlink"/>
            <w:lang w:val="es"/>
          </w:rPr>
          <w:t>DHS.ChildCareLicensing@dhs.ri.gov</w:t>
        </w:r>
      </w:hyperlink>
      <w:r>
        <w:rPr>
          <w:lang w:val="es"/>
        </w:rPr>
        <w:t>)</w:t>
      </w:r>
      <w:r w:rsidR="00D60C47">
        <w:rPr>
          <w:lang w:val="es"/>
        </w:rPr>
        <w:t xml:space="preserve">, si tiene </w:t>
      </w:r>
      <w:r w:rsidR="009E1426">
        <w:rPr>
          <w:lang w:val="es"/>
        </w:rPr>
        <w:t>algunas preguntas.</w:t>
      </w:r>
    </w:p>
    <w:p w14:paraId="6BF8AEED" w14:textId="2A2FF446" w:rsidR="00844EB6" w:rsidRPr="00844EB6" w:rsidRDefault="00844EB6" w:rsidP="00774A27">
      <w:pPr>
        <w:rPr>
          <w:lang w:val="es-ES"/>
        </w:rPr>
      </w:pPr>
      <w:r>
        <w:rPr>
          <w:lang w:val="es"/>
        </w:rPr>
        <w:t xml:space="preserve">Como recordatorio, tiene un </w:t>
      </w:r>
      <w:r w:rsidRPr="003618BA">
        <w:rPr>
          <w:b/>
          <w:bCs/>
          <w:lang w:val="es"/>
        </w:rPr>
        <w:t xml:space="preserve">año a partir de </w:t>
      </w:r>
      <w:r>
        <w:rPr>
          <w:b/>
          <w:bCs/>
          <w:lang w:val="es"/>
        </w:rPr>
        <w:t>la fecha en su certificado de orientación</w:t>
      </w:r>
      <w:r>
        <w:rPr>
          <w:lang w:val="es"/>
        </w:rPr>
        <w:t xml:space="preserve"> para obtener la licencia. Alentamos a los proveedores potenciales a no esperar hasta el último minuto, ya que las inspecciones y otras piezas de aplicación pueden llevar tiempo. </w:t>
      </w:r>
    </w:p>
    <w:p w14:paraId="39C263DF" w14:textId="77777777" w:rsidR="00F8533C" w:rsidRPr="00844EB6" w:rsidRDefault="00F8533C" w:rsidP="00F8533C">
      <w:pPr>
        <w:pStyle w:val="ListParagraph"/>
        <w:ind w:left="2160"/>
        <w:rPr>
          <w:b/>
          <w:i/>
          <w:lang w:val="es-ES"/>
        </w:rPr>
      </w:pPr>
    </w:p>
    <w:p w14:paraId="7176347D" w14:textId="77777777" w:rsidR="00844EB6" w:rsidRPr="00844EB6" w:rsidRDefault="00844EB6" w:rsidP="00844EB6">
      <w:pPr>
        <w:pStyle w:val="ListParagraph"/>
        <w:numPr>
          <w:ilvl w:val="0"/>
          <w:numId w:val="7"/>
        </w:numPr>
        <w:rPr>
          <w:b/>
          <w:i/>
          <w:lang w:val="es-ES"/>
        </w:rPr>
      </w:pPr>
      <w:r>
        <w:rPr>
          <w:b/>
          <w:i/>
          <w:lang w:val="es"/>
        </w:rPr>
        <w:t xml:space="preserve">Prueba de GED o Diploma de Escuela Secundaria  </w:t>
      </w:r>
    </w:p>
    <w:p w14:paraId="5F73206C" w14:textId="55B13EA0" w:rsidR="00844EB6" w:rsidRPr="00587896" w:rsidRDefault="00844EB6" w:rsidP="00844EB6">
      <w:pPr>
        <w:pStyle w:val="ListParagraph"/>
        <w:numPr>
          <w:ilvl w:val="0"/>
          <w:numId w:val="7"/>
        </w:numPr>
        <w:spacing w:after="0"/>
        <w:rPr>
          <w:b/>
          <w:i/>
        </w:rPr>
      </w:pPr>
      <w:r>
        <w:rPr>
          <w:b/>
          <w:i/>
          <w:lang w:val="es"/>
        </w:rPr>
        <w:t xml:space="preserve">Resultados de huellas dactilares para el proveedor </w:t>
      </w:r>
      <w:r w:rsidRPr="003D1F0D">
        <w:rPr>
          <w:b/>
          <w:i/>
          <w:lang w:val="es"/>
        </w:rPr>
        <w:t xml:space="preserve">y cualquier miembro del hogar </w:t>
      </w:r>
      <w:r w:rsidRPr="00587896">
        <w:rPr>
          <w:b/>
          <w:i/>
          <w:lang w:val="es"/>
        </w:rPr>
        <w:t xml:space="preserve">que sea mayor de 18 años. </w:t>
      </w:r>
      <w:r>
        <w:rPr>
          <w:lang w:val="es"/>
        </w:rPr>
        <w:t xml:space="preserve"> </w:t>
      </w:r>
      <w:r>
        <w:rPr>
          <w:i/>
          <w:lang w:val="es"/>
        </w:rPr>
        <w:t xml:space="preserve"> Los asistentes de emergencia y los asistentes se pueden completar con la aplicación. </w:t>
      </w:r>
      <w:r>
        <w:rPr>
          <w:lang w:val="es"/>
        </w:rPr>
        <w:t xml:space="preserve"> </w:t>
      </w:r>
      <w:hyperlink r:id="rId8" w:history="1">
        <w:r w:rsidRPr="00B921D2">
          <w:rPr>
            <w:rStyle w:val="Hyperlink"/>
            <w:i/>
            <w:lang w:val="es"/>
          </w:rPr>
          <w:t>Ver declaración jurada de huellas dact</w:t>
        </w:r>
        <w:r w:rsidRPr="00B921D2">
          <w:rPr>
            <w:rStyle w:val="Hyperlink"/>
            <w:i/>
            <w:lang w:val="es"/>
          </w:rPr>
          <w:t>i</w:t>
        </w:r>
        <w:r w:rsidRPr="00B921D2">
          <w:rPr>
            <w:rStyle w:val="Hyperlink"/>
            <w:i/>
            <w:lang w:val="es"/>
          </w:rPr>
          <w:t>lare</w:t>
        </w:r>
        <w:r w:rsidRPr="00B921D2">
          <w:rPr>
            <w:rStyle w:val="Hyperlink"/>
            <w:i/>
            <w:lang w:val="es"/>
          </w:rPr>
          <w:t>s</w:t>
        </w:r>
        <w:r w:rsidRPr="00B921D2">
          <w:rPr>
            <w:rStyle w:val="Hyperlink"/>
            <w:i/>
            <w:lang w:val="es"/>
          </w:rPr>
          <w:t xml:space="preserve"> adjunta</w:t>
        </w:r>
      </w:hyperlink>
      <w:r>
        <w:rPr>
          <w:i/>
          <w:lang w:val="es"/>
        </w:rPr>
        <w:t xml:space="preserve">. </w:t>
      </w:r>
    </w:p>
    <w:p w14:paraId="7DCB8DE4" w14:textId="77777777" w:rsidR="00844EB6" w:rsidRPr="00844EB6" w:rsidRDefault="00844EB6" w:rsidP="00844EB6">
      <w:pPr>
        <w:pStyle w:val="ListParagraph"/>
        <w:numPr>
          <w:ilvl w:val="0"/>
          <w:numId w:val="7"/>
        </w:numPr>
        <w:rPr>
          <w:b/>
          <w:i/>
          <w:lang w:val="es-ES"/>
        </w:rPr>
      </w:pPr>
      <w:r>
        <w:rPr>
          <w:b/>
          <w:i/>
          <w:lang w:val="es"/>
        </w:rPr>
        <w:t>Copia de su certificado de orientación</w:t>
      </w:r>
    </w:p>
    <w:p w14:paraId="71B036EC" w14:textId="4B88BA31" w:rsidR="00844EB6" w:rsidRPr="00844EB6" w:rsidRDefault="00844EB6" w:rsidP="00844EB6">
      <w:pPr>
        <w:pStyle w:val="ListParagraph"/>
        <w:numPr>
          <w:ilvl w:val="0"/>
          <w:numId w:val="7"/>
        </w:numPr>
        <w:spacing w:after="0"/>
        <w:rPr>
          <w:b/>
          <w:i/>
          <w:lang w:val="es-ES"/>
        </w:rPr>
      </w:pPr>
      <w:r w:rsidRPr="00844EB6">
        <w:rPr>
          <w:b/>
          <w:i/>
          <w:lang w:val="es"/>
        </w:rPr>
        <w:t>Comprobante de permiso del propietario o prueba</w:t>
      </w:r>
      <w:r w:rsidRPr="00844EB6">
        <w:rPr>
          <w:lang w:val="es"/>
        </w:rPr>
        <w:t xml:space="preserve"> de propiedad de </w:t>
      </w:r>
      <w:r w:rsidRPr="00844EB6">
        <w:rPr>
          <w:i/>
          <w:lang w:val="es"/>
        </w:rPr>
        <w:t>la casa: el comprobante de permiso del propietario debe ser la copia original (</w:t>
      </w:r>
      <w:hyperlink r:id="rId9" w:history="1">
        <w:r w:rsidRPr="00844EB6">
          <w:rPr>
            <w:rStyle w:val="Hyperlink"/>
            <w:i/>
            <w:lang w:val="es"/>
          </w:rPr>
          <w:t>consult</w:t>
        </w:r>
        <w:r w:rsidRPr="00844EB6">
          <w:rPr>
            <w:rStyle w:val="Hyperlink"/>
            <w:i/>
            <w:lang w:val="es"/>
          </w:rPr>
          <w:t>e</w:t>
        </w:r>
        <w:r w:rsidRPr="00844EB6">
          <w:rPr>
            <w:rStyle w:val="Hyperlink"/>
            <w:i/>
            <w:lang w:val="es"/>
          </w:rPr>
          <w:t xml:space="preserve"> el permiso del propietario adjunto</w:t>
        </w:r>
      </w:hyperlink>
      <w:r w:rsidRPr="00844EB6">
        <w:rPr>
          <w:i/>
          <w:lang w:val="es"/>
        </w:rPr>
        <w:t>),</w:t>
      </w:r>
      <w:r w:rsidRPr="00844EB6">
        <w:rPr>
          <w:lang w:val="es"/>
        </w:rPr>
        <w:t xml:space="preserve"> </w:t>
      </w:r>
      <w:r w:rsidRPr="00844EB6">
        <w:rPr>
          <w:i/>
          <w:lang w:val="es"/>
        </w:rPr>
        <w:t>firmada en los últimos 30 días y notariad</w:t>
      </w:r>
      <w:r w:rsidR="00BC3C76">
        <w:rPr>
          <w:i/>
          <w:lang w:val="es"/>
        </w:rPr>
        <w:t>o</w:t>
      </w:r>
      <w:r w:rsidRPr="00844EB6">
        <w:rPr>
          <w:i/>
          <w:lang w:val="es"/>
        </w:rPr>
        <w:t>. La prueba de propiedad de la vivienda puede incluir: Factura de hipoteca con dirección O Título o escritura de casa con domicilio</w:t>
      </w:r>
    </w:p>
    <w:p w14:paraId="366296A2" w14:textId="21EB2870" w:rsidR="00844EB6" w:rsidRPr="00844EB6" w:rsidRDefault="00844EB6" w:rsidP="00844EB6">
      <w:pPr>
        <w:pStyle w:val="ListParagraph"/>
        <w:numPr>
          <w:ilvl w:val="0"/>
          <w:numId w:val="7"/>
        </w:numPr>
        <w:spacing w:after="0"/>
        <w:rPr>
          <w:b/>
          <w:i/>
          <w:lang w:val="es-ES"/>
        </w:rPr>
      </w:pPr>
      <w:r w:rsidRPr="00844EB6">
        <w:rPr>
          <w:b/>
          <w:i/>
          <w:lang w:val="es"/>
        </w:rPr>
        <w:t xml:space="preserve">Una declaración escrita declarando que el solicitante no planea mudarse dentro del próximo año. </w:t>
      </w:r>
    </w:p>
    <w:p w14:paraId="24468369" w14:textId="77777777" w:rsidR="00F8533C" w:rsidRPr="00844EB6" w:rsidRDefault="00F8533C" w:rsidP="00F8533C">
      <w:pPr>
        <w:rPr>
          <w:lang w:val="es-ES"/>
        </w:rPr>
      </w:pPr>
    </w:p>
    <w:p w14:paraId="3E2D95B2" w14:textId="1559B9B0" w:rsidR="00844EB6" w:rsidRPr="00844EB6" w:rsidRDefault="00844EB6" w:rsidP="007A6C5D">
      <w:pPr>
        <w:rPr>
          <w:b/>
          <w:bCs/>
          <w:lang w:val="es-ES"/>
        </w:rPr>
      </w:pPr>
      <w:r>
        <w:rPr>
          <w:b/>
          <w:bCs/>
          <w:lang w:val="es"/>
        </w:rPr>
        <w:t>Estos documentos requeridos se deben enviar a:</w:t>
      </w:r>
    </w:p>
    <w:p w14:paraId="7BE50690" w14:textId="1190731D" w:rsidR="00CC65CF" w:rsidRPr="00F4189E" w:rsidRDefault="00CC65CF" w:rsidP="007E3A3E">
      <w:pPr>
        <w:pStyle w:val="NoSpacing"/>
        <w:jc w:val="center"/>
        <w:rPr>
          <w:b/>
          <w:bCs/>
        </w:rPr>
      </w:pPr>
      <w:r w:rsidRPr="00F4189E">
        <w:rPr>
          <w:b/>
          <w:bCs/>
        </w:rPr>
        <w:t>R</w:t>
      </w:r>
      <w:r w:rsidR="007E3A3E" w:rsidRPr="00F4189E">
        <w:rPr>
          <w:b/>
          <w:bCs/>
        </w:rPr>
        <w:t>hode Island</w:t>
      </w:r>
      <w:r w:rsidRPr="00F4189E">
        <w:rPr>
          <w:b/>
          <w:bCs/>
        </w:rPr>
        <w:t xml:space="preserve"> Department of Human Services</w:t>
      </w:r>
    </w:p>
    <w:p w14:paraId="6D9CDC73" w14:textId="6D274238" w:rsidR="007E3A3E" w:rsidRPr="00F4189E" w:rsidRDefault="007E3A3E" w:rsidP="007E3A3E">
      <w:pPr>
        <w:pStyle w:val="NoSpacing"/>
        <w:jc w:val="center"/>
        <w:rPr>
          <w:b/>
          <w:bCs/>
        </w:rPr>
      </w:pPr>
      <w:r w:rsidRPr="00F4189E">
        <w:rPr>
          <w:b/>
          <w:bCs/>
        </w:rPr>
        <w:t>Office of Child Care Licensing Team</w:t>
      </w:r>
    </w:p>
    <w:p w14:paraId="1C39AB37" w14:textId="77777777" w:rsidR="00CC65CF" w:rsidRPr="00F4189E" w:rsidRDefault="00CC65CF" w:rsidP="007E3A3E">
      <w:pPr>
        <w:pStyle w:val="NoSpacing"/>
        <w:jc w:val="center"/>
        <w:rPr>
          <w:b/>
          <w:bCs/>
        </w:rPr>
      </w:pPr>
      <w:r w:rsidRPr="00F4189E">
        <w:rPr>
          <w:b/>
          <w:bCs/>
        </w:rPr>
        <w:t>Louis Pasteur Building 57</w:t>
      </w:r>
    </w:p>
    <w:p w14:paraId="6B6A1BD8" w14:textId="77777777" w:rsidR="00CC65CF" w:rsidRPr="00F4189E" w:rsidRDefault="00CC65CF" w:rsidP="007E3A3E">
      <w:pPr>
        <w:pStyle w:val="NoSpacing"/>
        <w:jc w:val="center"/>
        <w:rPr>
          <w:b/>
          <w:bCs/>
        </w:rPr>
      </w:pPr>
      <w:r w:rsidRPr="00F4189E">
        <w:rPr>
          <w:b/>
          <w:bCs/>
        </w:rPr>
        <w:t>25 Howard Avenue</w:t>
      </w:r>
    </w:p>
    <w:p w14:paraId="60BB1684" w14:textId="77777777" w:rsidR="00CC65CF" w:rsidRPr="00F4189E" w:rsidRDefault="00CC65CF" w:rsidP="007E3A3E">
      <w:pPr>
        <w:pStyle w:val="NoSpacing"/>
        <w:jc w:val="center"/>
        <w:rPr>
          <w:b/>
          <w:bCs/>
        </w:rPr>
      </w:pPr>
      <w:r w:rsidRPr="00F4189E">
        <w:rPr>
          <w:b/>
          <w:bCs/>
        </w:rPr>
        <w:t>Cranston, RI 02920</w:t>
      </w:r>
    </w:p>
    <w:p w14:paraId="071ACAD2" w14:textId="24115F52" w:rsidR="00A960E4" w:rsidRDefault="00A960E4"/>
    <w:sectPr w:rsidR="00A96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521"/>
    <w:multiLevelType w:val="multilevel"/>
    <w:tmpl w:val="7240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2623AD"/>
    <w:multiLevelType w:val="multilevel"/>
    <w:tmpl w:val="AE0C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C86332"/>
    <w:multiLevelType w:val="hybridMultilevel"/>
    <w:tmpl w:val="81D2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1D9E"/>
    <w:multiLevelType w:val="multilevel"/>
    <w:tmpl w:val="B732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B972E2F"/>
    <w:multiLevelType w:val="multilevel"/>
    <w:tmpl w:val="1EB6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1A0CA2"/>
    <w:multiLevelType w:val="multilevel"/>
    <w:tmpl w:val="8B80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4DC5E51"/>
    <w:multiLevelType w:val="hybridMultilevel"/>
    <w:tmpl w:val="111CBA40"/>
    <w:lvl w:ilvl="0" w:tplc="60261DFE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3C"/>
    <w:rsid w:val="00080431"/>
    <w:rsid w:val="001D5772"/>
    <w:rsid w:val="003D1F0D"/>
    <w:rsid w:val="005A2A36"/>
    <w:rsid w:val="007E3A3E"/>
    <w:rsid w:val="00825B08"/>
    <w:rsid w:val="00833F9E"/>
    <w:rsid w:val="00844EB6"/>
    <w:rsid w:val="00883A23"/>
    <w:rsid w:val="008E5136"/>
    <w:rsid w:val="009E1426"/>
    <w:rsid w:val="00A960E4"/>
    <w:rsid w:val="00B921D2"/>
    <w:rsid w:val="00BC3C76"/>
    <w:rsid w:val="00C23921"/>
    <w:rsid w:val="00C806BA"/>
    <w:rsid w:val="00C928B5"/>
    <w:rsid w:val="00CC65CF"/>
    <w:rsid w:val="00D60C47"/>
    <w:rsid w:val="00E75F55"/>
    <w:rsid w:val="00E82FDD"/>
    <w:rsid w:val="00F4189E"/>
    <w:rsid w:val="00F8533C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79FD"/>
  <w15:chartTrackingRefBased/>
  <w15:docId w15:val="{9794E461-F9DE-4493-A486-425F0ADC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3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33C"/>
    <w:pPr>
      <w:ind w:left="720"/>
      <w:contextualSpacing/>
    </w:pPr>
  </w:style>
  <w:style w:type="paragraph" w:styleId="NoSpacing">
    <w:name w:val="No Spacing"/>
    <w:uiPriority w:val="1"/>
    <w:qFormat/>
    <w:rsid w:val="00CC65C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921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5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elp.org/wp-content/uploads/2021/09/FingerprintAffidavitDHSSpanish12.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.ChildCareLicensing@dhs.r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er-elp.org/wp-content/uploads/2021/09/Landlord_Permission_Final-SP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Nardolillo, Sarah (DHS)</dc:creator>
  <cp:keywords/>
  <dc:description/>
  <cp:lastModifiedBy>Miskelly, Danika</cp:lastModifiedBy>
  <cp:revision>3</cp:revision>
  <dcterms:created xsi:type="dcterms:W3CDTF">2022-04-01T16:55:00Z</dcterms:created>
  <dcterms:modified xsi:type="dcterms:W3CDTF">2022-04-01T16:58:00Z</dcterms:modified>
</cp:coreProperties>
</file>